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7535"/>
      </w:tblGrid>
      <w:tr w:rsidR="00D6180E" w14:paraId="76879924" w14:textId="77777777" w:rsidTr="00391400">
        <w:trPr>
          <w:trHeight w:val="698"/>
        </w:trPr>
        <w:tc>
          <w:tcPr>
            <w:tcW w:w="7535" w:type="dxa"/>
            <w:vAlign w:val="center"/>
          </w:tcPr>
          <w:p w14:paraId="7543A47F" w14:textId="77777777" w:rsidR="00391400" w:rsidRDefault="00391400" w:rsidP="00391400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34D59">
              <w:rPr>
                <w:b/>
                <w:smallCaps/>
                <w:sz w:val="24"/>
                <w:szCs w:val="24"/>
              </w:rPr>
              <w:t>Traitement d’une situation de harcèlement</w:t>
            </w:r>
            <w:r>
              <w:rPr>
                <w:b/>
                <w:smallCaps/>
                <w:sz w:val="24"/>
                <w:szCs w:val="24"/>
              </w:rPr>
              <w:t xml:space="preserve"> ou de tout comportement susceptible de faire peser un risque</w:t>
            </w:r>
          </w:p>
          <w:p w14:paraId="574813C2" w14:textId="4822AC95" w:rsidR="00391400" w:rsidRPr="00234D59" w:rsidRDefault="00391400" w:rsidP="0039140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sur la sécurité ou la santé d’un élève</w:t>
            </w:r>
          </w:p>
          <w:p w14:paraId="50D0D4FC" w14:textId="5B3F45FA" w:rsidR="00D6180E" w:rsidRDefault="00D6180E" w:rsidP="00E50EB3">
            <w:pPr>
              <w:jc w:val="center"/>
            </w:pPr>
            <w:r>
              <w:t>Gradation des actions</w:t>
            </w:r>
          </w:p>
        </w:tc>
      </w:tr>
    </w:tbl>
    <w:p w14:paraId="6461D137" w14:textId="7C6D9966" w:rsidR="00391400" w:rsidRDefault="006834B4" w:rsidP="00D6180E">
      <w:r w:rsidRPr="004778ED">
        <w:rPr>
          <w:noProof/>
        </w:rPr>
        <w:drawing>
          <wp:anchor distT="0" distB="0" distL="114300" distR="114300" simplePos="0" relativeHeight="251657216" behindDoc="0" locked="0" layoutInCell="1" allowOverlap="1" wp14:anchorId="5AB7443A" wp14:editId="36725035">
            <wp:simplePos x="0" y="0"/>
            <wp:positionH relativeFrom="margin">
              <wp:posOffset>15240</wp:posOffset>
            </wp:positionH>
            <wp:positionV relativeFrom="paragraph">
              <wp:posOffset>-703580</wp:posOffset>
            </wp:positionV>
            <wp:extent cx="928814" cy="581025"/>
            <wp:effectExtent l="0" t="0" r="5080" b="0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AF2DD" w14:textId="542A78EA" w:rsidR="00D6180E" w:rsidRDefault="00D6180E" w:rsidP="00D6180E"/>
    <w:p w14:paraId="01A1085B" w14:textId="068338F3" w:rsidR="00AF592E" w:rsidRPr="00AF592E" w:rsidRDefault="00994E4D" w:rsidP="00AF592E">
      <w:pPr>
        <w:pStyle w:val="Style1"/>
      </w:pPr>
      <w:r>
        <w:t>Phase</w:t>
      </w:r>
      <w:r w:rsidR="00AF592E" w:rsidRPr="00AF592E">
        <w:t xml:space="preserve"> 1 : Traitement</w:t>
      </w:r>
      <w:r w:rsidR="001E10B1">
        <w:t xml:space="preserve"> à valence</w:t>
      </w:r>
      <w:r w:rsidR="00AF592E" w:rsidRPr="00AF592E">
        <w:t xml:space="preserve"> pédagogique de la situation</w:t>
      </w:r>
    </w:p>
    <w:p w14:paraId="74C7AD10" w14:textId="5DC134F0" w:rsidR="00AF592E" w:rsidRDefault="00AF592E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F592E" w14:paraId="6607C659" w14:textId="77777777" w:rsidTr="009C0845">
        <w:trPr>
          <w:trHeight w:val="1748"/>
        </w:trPr>
        <w:tc>
          <w:tcPr>
            <w:tcW w:w="9670" w:type="dxa"/>
            <w:vAlign w:val="center"/>
          </w:tcPr>
          <w:p w14:paraId="7D33CC81" w14:textId="77777777" w:rsidR="009C0845" w:rsidRDefault="009C0845" w:rsidP="009C0845">
            <w:pPr>
              <w:pStyle w:val="Paragraphedeliste"/>
              <w:ind w:left="321"/>
              <w:jc w:val="both"/>
            </w:pPr>
            <w:bookmarkStart w:id="0" w:name="_Hlk145020137"/>
          </w:p>
          <w:p w14:paraId="37D79526" w14:textId="7952EBFA" w:rsidR="00AF592E" w:rsidRDefault="006834B4" w:rsidP="0038577E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>
              <w:t>La</w:t>
            </w:r>
            <w:r w:rsidR="00AF592E">
              <w:t xml:space="preserve"> </w:t>
            </w:r>
            <w:r w:rsidR="00756E19">
              <w:t>méthode de la préoccupation</w:t>
            </w:r>
            <w:r w:rsidR="00AF592E">
              <w:t xml:space="preserve"> </w:t>
            </w:r>
            <w:r w:rsidR="00721F09">
              <w:t xml:space="preserve">partagée </w:t>
            </w:r>
            <w:r>
              <w:t xml:space="preserve">est mobilisée </w:t>
            </w:r>
            <w:r w:rsidR="00AF592E">
              <w:t xml:space="preserve">par les enseignants </w:t>
            </w:r>
            <w:r w:rsidR="004F3693">
              <w:t xml:space="preserve">et enseignantes </w:t>
            </w:r>
            <w:r w:rsidR="00AF592E">
              <w:t>de l’école</w:t>
            </w:r>
            <w:r w:rsidR="001E10B1">
              <w:t>.</w:t>
            </w:r>
          </w:p>
          <w:p w14:paraId="5C81565B" w14:textId="7F2B11B1" w:rsidR="00AF592E" w:rsidRPr="009E1F62" w:rsidRDefault="00AF592E" w:rsidP="0038577E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 w:rsidRPr="009E1F62">
              <w:t xml:space="preserve">Si nécessaire, </w:t>
            </w:r>
            <w:r w:rsidR="006834B4" w:rsidRPr="009E1F62">
              <w:t>un</w:t>
            </w:r>
            <w:r w:rsidRPr="009E1F62">
              <w:t xml:space="preserve"> membre de l’équipe ressource de circonscription</w:t>
            </w:r>
            <w:r w:rsidR="006834B4" w:rsidRPr="009E1F62">
              <w:t xml:space="preserve"> est sollicité.</w:t>
            </w:r>
          </w:p>
          <w:p w14:paraId="2694D309" w14:textId="4BC676B2" w:rsidR="00B06043" w:rsidRDefault="00AF592E" w:rsidP="00786425">
            <w:pPr>
              <w:pStyle w:val="Paragraphedeliste"/>
              <w:numPr>
                <w:ilvl w:val="0"/>
                <w:numId w:val="1"/>
              </w:numPr>
              <w:ind w:left="321" w:right="66" w:hanging="284"/>
              <w:jc w:val="both"/>
            </w:pPr>
            <w:r w:rsidRPr="009E1F62">
              <w:t xml:space="preserve">Si cela n’a pas </w:t>
            </w:r>
            <w:r w:rsidR="00C67933" w:rsidRPr="009E1F62">
              <w:t xml:space="preserve">encore </w:t>
            </w:r>
            <w:r w:rsidRPr="009E1F62">
              <w:t xml:space="preserve">été fait, </w:t>
            </w:r>
            <w:r w:rsidR="00E879E1">
              <w:t xml:space="preserve">des actions pédagogiques </w:t>
            </w:r>
            <w:r w:rsidR="00B06043">
              <w:t>s</w:t>
            </w:r>
            <w:r w:rsidR="006834B4" w:rsidRPr="009E1F62">
              <w:t xml:space="preserve">ont mises en œuvre </w:t>
            </w:r>
            <w:r w:rsidR="00E879E1" w:rsidRPr="009E1F62">
              <w:t>dans l</w:t>
            </w:r>
            <w:r w:rsidR="00E879E1">
              <w:t xml:space="preserve">a classe </w:t>
            </w:r>
            <w:r w:rsidRPr="009E1F62">
              <w:t xml:space="preserve">en mobilisant les ressources </w:t>
            </w:r>
            <w:r w:rsidR="00B06043">
              <w:t>disponibles sur</w:t>
            </w:r>
            <w:r w:rsidRPr="009E1F62">
              <w:t> :</w:t>
            </w:r>
          </w:p>
          <w:p w14:paraId="68DAC3E3" w14:textId="1C41E257" w:rsidR="00AF592E" w:rsidRPr="009E1F62" w:rsidRDefault="00AF592E" w:rsidP="00B06043">
            <w:pPr>
              <w:pStyle w:val="Paragraphedeliste"/>
              <w:ind w:left="321" w:right="66"/>
              <w:jc w:val="both"/>
            </w:pPr>
            <w:r w:rsidRPr="009E1F62">
              <w:t xml:space="preserve"> </w:t>
            </w:r>
            <w:hyperlink r:id="rId8" w:history="1">
              <w:r w:rsidRPr="00B06043">
                <w:rPr>
                  <w:rStyle w:val="Lienhypertexte"/>
                  <w:sz w:val="20"/>
                  <w:szCs w:val="20"/>
                </w:rPr>
                <w:t>https://portailpedagogique68_1d.site.ac-strasbourg.fr/enseignement-moral-et-civique/harcelement/</w:t>
              </w:r>
            </w:hyperlink>
          </w:p>
          <w:p w14:paraId="00157D8D" w14:textId="77777777" w:rsidR="00756E19" w:rsidRDefault="006834B4" w:rsidP="00756E19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 w:rsidRPr="009E1F62">
              <w:t>La</w:t>
            </w:r>
            <w:r w:rsidR="00756E19" w:rsidRPr="009E1F62">
              <w:t xml:space="preserve"> fiche de suivi d’une situation d’intimidation</w:t>
            </w:r>
            <w:r w:rsidR="00756E19">
              <w:t xml:space="preserve"> ou de harcèlement</w:t>
            </w:r>
            <w:r>
              <w:t xml:space="preserve"> est complétée.</w:t>
            </w:r>
          </w:p>
          <w:p w14:paraId="088B60A8" w14:textId="47396647" w:rsidR="009C0845" w:rsidRDefault="009C0845" w:rsidP="009C0845">
            <w:pPr>
              <w:pStyle w:val="Paragraphedeliste"/>
              <w:ind w:left="321"/>
              <w:jc w:val="both"/>
            </w:pPr>
          </w:p>
        </w:tc>
      </w:tr>
      <w:bookmarkEnd w:id="0"/>
    </w:tbl>
    <w:p w14:paraId="1B8F1E72" w14:textId="386928A6" w:rsidR="00D6180E" w:rsidRDefault="00D6180E"/>
    <w:p w14:paraId="1314261B" w14:textId="42F3572F" w:rsidR="00994E4D" w:rsidRDefault="00994E4D" w:rsidP="00994E4D">
      <w:pPr>
        <w:pStyle w:val="Style1"/>
      </w:pPr>
      <w:r>
        <w:t xml:space="preserve">Phase 2 : </w:t>
      </w:r>
      <w:r w:rsidR="00391400">
        <w:t xml:space="preserve">Mise en œuvre d’une démarche éducative </w:t>
      </w:r>
      <w:r w:rsidR="004F3693">
        <w:t>interprofessionnelle et partenariale</w:t>
      </w:r>
    </w:p>
    <w:p w14:paraId="20C989D1" w14:textId="77777777" w:rsidR="00994E4D" w:rsidRDefault="00994E4D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94E4D" w14:paraId="2729E129" w14:textId="77777777" w:rsidTr="009043E7">
        <w:trPr>
          <w:trHeight w:val="2398"/>
        </w:trPr>
        <w:tc>
          <w:tcPr>
            <w:tcW w:w="9670" w:type="dxa"/>
            <w:vAlign w:val="center"/>
          </w:tcPr>
          <w:p w14:paraId="55B4A69A" w14:textId="77777777" w:rsidR="00B06043" w:rsidRDefault="00B06043" w:rsidP="00391400">
            <w:pPr>
              <w:jc w:val="both"/>
              <w:rPr>
                <w:u w:val="single"/>
              </w:rPr>
            </w:pPr>
            <w:bookmarkStart w:id="1" w:name="_Hlk145020427"/>
          </w:p>
          <w:p w14:paraId="0154855A" w14:textId="67197672" w:rsidR="00391400" w:rsidRDefault="00391400" w:rsidP="00391400">
            <w:pPr>
              <w:jc w:val="both"/>
              <w:rPr>
                <w:u w:val="single"/>
              </w:rPr>
            </w:pPr>
            <w:r w:rsidRPr="00721F09">
              <w:rPr>
                <w:u w:val="single"/>
              </w:rPr>
              <w:t xml:space="preserve">Si </w:t>
            </w:r>
            <w:r>
              <w:rPr>
                <w:u w:val="single"/>
              </w:rPr>
              <w:t>le comportement intentionnel et répété d’un élève fait peser un risque caractérisé sur la sécurité ou la santé d’un autre élève de l’école</w:t>
            </w:r>
            <w:r w:rsidRPr="00721F09">
              <w:rPr>
                <w:u w:val="single"/>
              </w:rPr>
              <w:t> :</w:t>
            </w:r>
          </w:p>
          <w:p w14:paraId="56E1F02B" w14:textId="77777777" w:rsidR="00681137" w:rsidRPr="009B3375" w:rsidRDefault="00681137" w:rsidP="00391400">
            <w:pPr>
              <w:jc w:val="both"/>
              <w:rPr>
                <w:u w:val="single"/>
              </w:rPr>
            </w:pPr>
          </w:p>
          <w:p w14:paraId="5091CEE1" w14:textId="34047B26" w:rsidR="00994E4D" w:rsidRDefault="006834B4" w:rsidP="00391400">
            <w:pPr>
              <w:pStyle w:val="Paragraphedeliste"/>
              <w:numPr>
                <w:ilvl w:val="0"/>
                <w:numId w:val="2"/>
              </w:numPr>
              <w:ind w:left="318" w:hanging="284"/>
              <w:jc w:val="both"/>
            </w:pPr>
            <w:r>
              <w:t>Un</w:t>
            </w:r>
            <w:r w:rsidR="00994E4D">
              <w:t xml:space="preserve"> « fait établissement »</w:t>
            </w:r>
            <w:r>
              <w:t>,</w:t>
            </w:r>
            <w:r w:rsidR="00994E4D">
              <w:t xml:space="preserve"> de niveau 2</w:t>
            </w:r>
            <w:r w:rsidR="004147D6">
              <w:t xml:space="preserve"> ou 3 selon l’intensité du fait</w:t>
            </w:r>
            <w:r w:rsidR="00DD51EB">
              <w:t>,</w:t>
            </w:r>
            <w:r>
              <w:t xml:space="preserve"> est saisi.</w:t>
            </w:r>
          </w:p>
          <w:p w14:paraId="16306894" w14:textId="442A4A14" w:rsidR="00994E4D" w:rsidRDefault="006834B4" w:rsidP="006834B4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Suite à un échange avec la chargée de mission « prévention violences », la fiche </w:t>
            </w:r>
            <w:r w:rsidR="00994E4D">
              <w:t xml:space="preserve">« Signalement au </w:t>
            </w:r>
            <w:r w:rsidR="00721F09">
              <w:t>p</w:t>
            </w:r>
            <w:r w:rsidR="00994E4D">
              <w:t>rocureur </w:t>
            </w:r>
            <w:r w:rsidR="00721F09">
              <w:t xml:space="preserve">de la République </w:t>
            </w:r>
            <w:r w:rsidR="00994E4D">
              <w:t xml:space="preserve">» </w:t>
            </w:r>
            <w:r>
              <w:t>est éventuellement complétée.</w:t>
            </w:r>
          </w:p>
          <w:p w14:paraId="2E7608BB" w14:textId="427C22C8" w:rsidR="00994E4D" w:rsidRDefault="006834B4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>La</w:t>
            </w:r>
            <w:r w:rsidR="003A31AE">
              <w:t xml:space="preserve"> situation </w:t>
            </w:r>
            <w:r>
              <w:t xml:space="preserve">est évoquée </w:t>
            </w:r>
            <w:r w:rsidR="00994E4D">
              <w:t xml:space="preserve">à l’inspecteur ou </w:t>
            </w:r>
            <w:r w:rsidR="003A31AE">
              <w:t xml:space="preserve">à </w:t>
            </w:r>
            <w:r w:rsidR="00994E4D">
              <w:t>l’inspectrice de circonscription</w:t>
            </w:r>
            <w:r w:rsidR="001E10B1">
              <w:t>.</w:t>
            </w:r>
          </w:p>
          <w:p w14:paraId="6B9B2EA5" w14:textId="012B2C5A" w:rsidR="00994E4D" w:rsidRDefault="006834B4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>Une</w:t>
            </w:r>
            <w:r w:rsidR="00994E4D">
              <w:t xml:space="preserve"> équipe éducative élargie concernant l’élève </w:t>
            </w:r>
            <w:r w:rsidR="009043E7">
              <w:t xml:space="preserve">intimidateur </w:t>
            </w:r>
            <w:r>
              <w:t xml:space="preserve">est réunie </w:t>
            </w:r>
            <w:r w:rsidR="009043E7">
              <w:t xml:space="preserve">en présence de ses parents. Peuvent </w:t>
            </w:r>
            <w:r w:rsidR="00756E19">
              <w:t xml:space="preserve">y </w:t>
            </w:r>
            <w:r w:rsidR="009043E7">
              <w:t>être présents</w:t>
            </w:r>
            <w:r w:rsidR="00994E4D">
              <w:t xml:space="preserve"> : </w:t>
            </w:r>
            <w:r w:rsidR="009043E7">
              <w:t>l’</w:t>
            </w:r>
            <w:r w:rsidR="00994E4D">
              <w:t xml:space="preserve">enseignant ou </w:t>
            </w:r>
            <w:r w:rsidR="009043E7">
              <w:t>l’</w:t>
            </w:r>
            <w:r w:rsidR="00994E4D">
              <w:t xml:space="preserve">enseignante, </w:t>
            </w:r>
            <w:r w:rsidR="009043E7">
              <w:t xml:space="preserve">un ou des </w:t>
            </w:r>
            <w:r w:rsidR="00994E4D">
              <w:t>membre</w:t>
            </w:r>
            <w:r w:rsidR="009043E7">
              <w:t>s</w:t>
            </w:r>
            <w:r w:rsidR="00994E4D">
              <w:t xml:space="preserve"> du RASED, </w:t>
            </w:r>
            <w:r w:rsidR="009043E7">
              <w:t xml:space="preserve">un </w:t>
            </w:r>
            <w:r w:rsidR="00994E4D">
              <w:t xml:space="preserve">conseiller ou </w:t>
            </w:r>
            <w:r w:rsidR="009043E7">
              <w:t xml:space="preserve">une </w:t>
            </w:r>
            <w:r w:rsidR="00994E4D">
              <w:t>conseillère pédagogique</w:t>
            </w:r>
            <w:r w:rsidR="00756E19">
              <w:t xml:space="preserve"> et t</w:t>
            </w:r>
            <w:r w:rsidR="00994E4D">
              <w:t>oute personne ou partenaire susceptible d’éclairer la situation</w:t>
            </w:r>
            <w:r w:rsidR="00756E19">
              <w:t>.</w:t>
            </w:r>
          </w:p>
          <w:p w14:paraId="018F5CC1" w14:textId="678DC71B" w:rsidR="00391400" w:rsidRDefault="006834B4" w:rsidP="00391400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Les </w:t>
            </w:r>
            <w:r w:rsidR="00391400">
              <w:t>mesures éducatives définies par l’équipe éducative élargie</w:t>
            </w:r>
            <w:r>
              <w:t xml:space="preserve"> sont mises en œuvre.</w:t>
            </w:r>
          </w:p>
          <w:p w14:paraId="065C544B" w14:textId="63601517" w:rsidR="001E10B1" w:rsidRDefault="00391400" w:rsidP="00391400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Si la situation l’exige, et après avis de </w:t>
            </w:r>
            <w:r w:rsidR="00E879E1">
              <w:t xml:space="preserve">l’inspecteur ou à l’inspectrice </w:t>
            </w:r>
            <w:r>
              <w:t>de circonscription,</w:t>
            </w:r>
            <w:r w:rsidR="00E879E1">
              <w:t xml:space="preserve"> le directeur ou la directrice </w:t>
            </w:r>
            <w:r>
              <w:t xml:space="preserve">peut, à titre conservatoire, suspendre l’accès à l’école de l’élève dont le comportement est en cause. Il s’agit de protéger l’élève victime des agissements de celui dont le comportement nuit à sa sécurité ou sa santé. </w:t>
            </w:r>
            <w:r w:rsidR="00B06043">
              <w:t>U</w:t>
            </w:r>
            <w:r>
              <w:t xml:space="preserve">ne telle mesure conservatoire ne peut dépasser cinq jours. Le cas échéant, il revient </w:t>
            </w:r>
            <w:r w:rsidR="00E879E1">
              <w:t xml:space="preserve">au directeur ou à la directrice </w:t>
            </w:r>
            <w:r>
              <w:t>d’assurer la continuité pédagogique pour l’élève concerné durant toute la durée de la suspension</w:t>
            </w:r>
            <w:r w:rsidR="001621BB">
              <w:t>.</w:t>
            </w:r>
          </w:p>
          <w:p w14:paraId="15EFAF6F" w14:textId="7B30488D" w:rsidR="00B06043" w:rsidRDefault="00B06043" w:rsidP="00B06043">
            <w:pPr>
              <w:pStyle w:val="Paragraphedeliste"/>
              <w:ind w:left="321"/>
              <w:jc w:val="both"/>
            </w:pPr>
          </w:p>
        </w:tc>
      </w:tr>
    </w:tbl>
    <w:p w14:paraId="44C9059B" w14:textId="16A7171D" w:rsidR="00994E4D" w:rsidRDefault="00994E4D">
      <w:bookmarkStart w:id="2" w:name="_Hlk145020988"/>
      <w:bookmarkEnd w:id="1"/>
    </w:p>
    <w:bookmarkEnd w:id="2"/>
    <w:p w14:paraId="1136194A" w14:textId="1EAAAA0C" w:rsidR="00994E4D" w:rsidRDefault="00994E4D" w:rsidP="0038577E">
      <w:pPr>
        <w:pStyle w:val="Style1"/>
      </w:pPr>
      <w:r>
        <w:t xml:space="preserve">Phase </w:t>
      </w:r>
      <w:r w:rsidR="00391400">
        <w:t>3</w:t>
      </w:r>
      <w:r>
        <w:t> : Exclusion définitive</w:t>
      </w:r>
    </w:p>
    <w:p w14:paraId="52EF36CB" w14:textId="49BED31A" w:rsidR="00994E4D" w:rsidRDefault="00994E4D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24FE9" w14:paraId="074B068F" w14:textId="77777777" w:rsidTr="00424FE9">
        <w:tc>
          <w:tcPr>
            <w:tcW w:w="9672" w:type="dxa"/>
          </w:tcPr>
          <w:p w14:paraId="016BE852" w14:textId="77777777" w:rsidR="00B06043" w:rsidRDefault="00B06043" w:rsidP="00424FE9">
            <w:pPr>
              <w:jc w:val="both"/>
              <w:rPr>
                <w:u w:val="single"/>
              </w:rPr>
            </w:pPr>
          </w:p>
          <w:p w14:paraId="76B1B8BD" w14:textId="34C78C05" w:rsidR="00424FE9" w:rsidRDefault="00424FE9" w:rsidP="00424FE9">
            <w:pPr>
              <w:jc w:val="both"/>
            </w:pPr>
            <w:r w:rsidRPr="00721F09">
              <w:rPr>
                <w:u w:val="single"/>
              </w:rPr>
              <w:t xml:space="preserve">Si la situation </w:t>
            </w:r>
            <w:r w:rsidRPr="00B06043">
              <w:rPr>
                <w:u w:val="single"/>
              </w:rPr>
              <w:t>persiste </w:t>
            </w:r>
            <w:r w:rsidR="00B06043" w:rsidRPr="00B06043">
              <w:rPr>
                <w:u w:val="single"/>
              </w:rPr>
              <w:t>après le retour de l’élève</w:t>
            </w:r>
            <w:r w:rsidR="00B06043">
              <w:t> :</w:t>
            </w:r>
          </w:p>
          <w:p w14:paraId="665372F5" w14:textId="77777777" w:rsidR="00681137" w:rsidRPr="00721F09" w:rsidRDefault="00681137" w:rsidP="00424FE9">
            <w:pPr>
              <w:jc w:val="both"/>
              <w:rPr>
                <w:u w:val="single"/>
              </w:rPr>
            </w:pPr>
          </w:p>
          <w:p w14:paraId="1B091BBB" w14:textId="71996944" w:rsidR="00424FE9" w:rsidRDefault="00B06043" w:rsidP="00B0604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>A</w:t>
            </w:r>
            <w:r w:rsidR="00424FE9">
              <w:t xml:space="preserve">près avis de </w:t>
            </w:r>
            <w:r w:rsidR="00E879E1">
              <w:t xml:space="preserve">l’inspecteur ou à l’inspectrice de </w:t>
            </w:r>
            <w:r w:rsidR="00424FE9">
              <w:t xml:space="preserve">circonscription, </w:t>
            </w:r>
            <w:r w:rsidR="00E879E1">
              <w:t xml:space="preserve">le directeur ou la directrice </w:t>
            </w:r>
            <w:r w:rsidR="00424FE9">
              <w:t xml:space="preserve">peut saisir l’IA-DASEN pour </w:t>
            </w:r>
            <w:r>
              <w:t>demander</w:t>
            </w:r>
            <w:r w:rsidR="00424FE9">
              <w:t xml:space="preserve"> la radiation </w:t>
            </w:r>
            <w:r>
              <w:t xml:space="preserve">de cet </w:t>
            </w:r>
            <w:r w:rsidR="00424FE9">
              <w:t xml:space="preserve">élève </w:t>
            </w:r>
            <w:r>
              <w:t xml:space="preserve">au maire </w:t>
            </w:r>
            <w:r w:rsidR="00424FE9">
              <w:t>et son inscription dans une autre école</w:t>
            </w:r>
            <w:r w:rsidR="00424FE9" w:rsidRPr="00CD2788">
              <w:t>. S’il l’estime nécessaire</w:t>
            </w:r>
            <w:r w:rsidR="00E879E1">
              <w:t>,</w:t>
            </w:r>
            <w:r w:rsidR="001621BB">
              <w:t xml:space="preserve"> </w:t>
            </w:r>
            <w:r w:rsidR="00E879E1">
              <w:t xml:space="preserve">le directeur ou la directrice </w:t>
            </w:r>
            <w:r w:rsidR="00424FE9" w:rsidRPr="00CD2788">
              <w:t xml:space="preserve">peut fonder sa décision de saisir l’IA-DASEN sur l’avis formulé par une nouvelle équipe éducative </w:t>
            </w:r>
            <w:r w:rsidR="001621BB">
              <w:t>qui</w:t>
            </w:r>
            <w:r w:rsidR="00424FE9" w:rsidRPr="00CD2788">
              <w:t xml:space="preserve"> se prononcer</w:t>
            </w:r>
            <w:r w:rsidR="001621BB">
              <w:t>a</w:t>
            </w:r>
            <w:r w:rsidR="00424FE9" w:rsidRPr="00CD2788">
              <w:t xml:space="preserve"> sur la nécessité d’un changement d’école</w:t>
            </w:r>
            <w:r w:rsidR="00424FE9">
              <w:t>.</w:t>
            </w:r>
          </w:p>
          <w:p w14:paraId="47798C28" w14:textId="77777777" w:rsidR="00424FE9" w:rsidRDefault="00424FE9" w:rsidP="00424FE9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>La saisine de l’IA-DASEN se fait par l’intermédiaire de la fiche navette de demande de radiation d’élève transmise au secrétariat de la circonscription accompagnée des pièces jointes.</w:t>
            </w:r>
          </w:p>
          <w:p w14:paraId="1D02AF5A" w14:textId="01FDFCE5" w:rsidR="00424FE9" w:rsidRDefault="00424FE9" w:rsidP="00424FE9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lastRenderedPageBreak/>
              <w:t xml:space="preserve">Si la situation l’exige, et après avis </w:t>
            </w:r>
            <w:r w:rsidR="001621BB">
              <w:t>de l’inspectrice</w:t>
            </w:r>
            <w:r w:rsidR="00E879E1">
              <w:t xml:space="preserve"> ou de l’inspecteur</w:t>
            </w:r>
            <w:r w:rsidR="001621BB">
              <w:t xml:space="preserve"> de circonscription</w:t>
            </w:r>
            <w:r>
              <w:t xml:space="preserve">, </w:t>
            </w:r>
            <w:r w:rsidR="00355688">
              <w:t xml:space="preserve">le directeur ou la directrice </w:t>
            </w:r>
            <w:r>
              <w:t>peut, à titre conservatoire, suspendre l’accès de l’école à l’élève pendant la durée de la procédure de radiation</w:t>
            </w:r>
            <w:r w:rsidR="001621BB">
              <w:t xml:space="preserve"> tout en assurant</w:t>
            </w:r>
            <w:r>
              <w:t xml:space="preserve"> la continuité pédagogique</w:t>
            </w:r>
            <w:r w:rsidR="00681137">
              <w:t xml:space="preserve"> </w:t>
            </w:r>
            <w:r>
              <w:t>jusqu’à son inscription dans sa nouvelle école.</w:t>
            </w:r>
          </w:p>
          <w:p w14:paraId="1E7FC723" w14:textId="7B4538EE" w:rsidR="001621BB" w:rsidRDefault="00424FE9" w:rsidP="009C0845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Après étude de la demande, l’IA-DASEN informe </w:t>
            </w:r>
            <w:r w:rsidR="00E879E1">
              <w:t xml:space="preserve">le directeur ou la directrice </w:t>
            </w:r>
            <w:r>
              <w:t xml:space="preserve">de sa décision. Le cas échéant, il saisit le maire pour lui demander de procéder à la radiation de l’élève. S’il y a d’autres écoles publiques dans la municipalité, ou de l’EPCI si l’établissement dispose de la compétence relative au fonctionnement des écoles publiques, l’élève est inscrit </w:t>
            </w:r>
            <w:r w:rsidR="00E879E1">
              <w:t xml:space="preserve">ou inscrite </w:t>
            </w:r>
            <w:r>
              <w:t>dans l’une de ces écoles. S’il n’y a pas d’autre école publique, la radiation est assujettie à l’accord d’un maire d’une autre commune pour accepter l’inscription de l’élève concerné.</w:t>
            </w:r>
          </w:p>
          <w:p w14:paraId="3352B734" w14:textId="70238A5B" w:rsidR="009C0845" w:rsidRDefault="009C0845" w:rsidP="009C0845">
            <w:pPr>
              <w:pStyle w:val="Paragraphedeliste"/>
              <w:ind w:left="321"/>
              <w:jc w:val="both"/>
            </w:pPr>
          </w:p>
        </w:tc>
      </w:tr>
    </w:tbl>
    <w:p w14:paraId="02156FE3" w14:textId="77777777" w:rsidR="00424FE9" w:rsidRDefault="00424FE9" w:rsidP="00424FE9">
      <w:pPr>
        <w:jc w:val="both"/>
      </w:pPr>
    </w:p>
    <w:p w14:paraId="18FFACC1" w14:textId="222F1206" w:rsidR="00CD2788" w:rsidRDefault="00424FE9" w:rsidP="00424FE9">
      <w:pPr>
        <w:jc w:val="both"/>
      </w:pPr>
      <w:r>
        <w:t xml:space="preserve">L’élève concerné </w:t>
      </w:r>
      <w:r w:rsidR="00E879E1">
        <w:t xml:space="preserve">ou concernée </w:t>
      </w:r>
      <w:r>
        <w:t>par une radiation doit faire l’objet d’un suivi pédagogique et éducatif renforcé jusqu’à la fin de l’année scolaire en cours. Ce suivi est organisé</w:t>
      </w:r>
      <w:r w:rsidR="00E879E1">
        <w:t xml:space="preserve"> par</w:t>
      </w:r>
      <w:r>
        <w:t xml:space="preserve"> </w:t>
      </w:r>
      <w:r w:rsidR="00E879E1">
        <w:t xml:space="preserve">le directeur ou la directrice </w:t>
      </w:r>
      <w:r>
        <w:t>de la</w:t>
      </w:r>
      <w:bookmarkStart w:id="3" w:name="_GoBack"/>
      <w:bookmarkEnd w:id="3"/>
      <w:r>
        <w:t xml:space="preserve"> nouvelle école, en lien avec </w:t>
      </w:r>
      <w:r w:rsidR="00E879E1">
        <w:t xml:space="preserve">le directeur ou la directrice </w:t>
      </w:r>
      <w:r>
        <w:t>de l’école d’origine.</w:t>
      </w:r>
    </w:p>
    <w:sectPr w:rsidR="00CD2788" w:rsidSect="009043E7">
      <w:footerReference w:type="default" r:id="rId9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4B39" w14:textId="77777777" w:rsidR="007375D9" w:rsidRDefault="007375D9" w:rsidP="009043E7">
      <w:pPr>
        <w:spacing w:line="240" w:lineRule="auto"/>
      </w:pPr>
      <w:r>
        <w:separator/>
      </w:r>
    </w:p>
  </w:endnote>
  <w:endnote w:type="continuationSeparator" w:id="0">
    <w:p w14:paraId="4D4AFC7F" w14:textId="77777777" w:rsidR="007375D9" w:rsidRDefault="007375D9" w:rsidP="00904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7FC8" w14:textId="1A0530CD" w:rsidR="009043E7" w:rsidRPr="009043E7" w:rsidRDefault="009043E7">
    <w:pPr>
      <w:pStyle w:val="Pieddepage"/>
      <w:jc w:val="right"/>
      <w:rPr>
        <w:sz w:val="16"/>
        <w:szCs w:val="16"/>
      </w:rPr>
    </w:pPr>
    <w:r w:rsidRPr="009043E7">
      <w:rPr>
        <w:sz w:val="16"/>
        <w:szCs w:val="16"/>
      </w:rPr>
      <w:t xml:space="preserve">Lutte contre le harcèlement scolaire – </w:t>
    </w:r>
    <w:r>
      <w:rPr>
        <w:sz w:val="16"/>
        <w:szCs w:val="16"/>
      </w:rPr>
      <w:t>Gradation des actions</w:t>
    </w:r>
    <w:r w:rsidRPr="009043E7">
      <w:rPr>
        <w:sz w:val="16"/>
        <w:szCs w:val="16"/>
      </w:rPr>
      <w:t xml:space="preserve"> – année scolaire 202</w:t>
    </w:r>
    <w:r w:rsidR="00F17C44">
      <w:rPr>
        <w:sz w:val="16"/>
        <w:szCs w:val="16"/>
      </w:rPr>
      <w:t>4</w:t>
    </w:r>
    <w:r w:rsidRPr="009043E7">
      <w:rPr>
        <w:sz w:val="16"/>
        <w:szCs w:val="16"/>
      </w:rPr>
      <w:t>/202</w:t>
    </w:r>
    <w:r w:rsidR="00F17C44">
      <w:rPr>
        <w:sz w:val="16"/>
        <w:szCs w:val="16"/>
      </w:rPr>
      <w:t>5</w:t>
    </w:r>
    <w:r w:rsidRPr="009043E7">
      <w:rPr>
        <w:sz w:val="16"/>
        <w:szCs w:val="16"/>
      </w:rPr>
      <w:t xml:space="preserve"> – page </w:t>
    </w:r>
    <w:sdt>
      <w:sdtPr>
        <w:rPr>
          <w:sz w:val="16"/>
          <w:szCs w:val="16"/>
        </w:rPr>
        <w:id w:val="-2052147279"/>
        <w:docPartObj>
          <w:docPartGallery w:val="Page Numbers (Bottom of Page)"/>
          <w:docPartUnique/>
        </w:docPartObj>
      </w:sdtPr>
      <w:sdtEndPr/>
      <w:sdtContent>
        <w:r w:rsidRPr="009043E7">
          <w:rPr>
            <w:sz w:val="16"/>
            <w:szCs w:val="16"/>
          </w:rPr>
          <w:fldChar w:fldCharType="begin"/>
        </w:r>
        <w:r w:rsidRPr="009043E7">
          <w:rPr>
            <w:sz w:val="16"/>
            <w:szCs w:val="16"/>
          </w:rPr>
          <w:instrText>PAGE   \* MERGEFORMAT</w:instrText>
        </w:r>
        <w:r w:rsidRPr="009043E7">
          <w:rPr>
            <w:sz w:val="16"/>
            <w:szCs w:val="16"/>
          </w:rPr>
          <w:fldChar w:fldCharType="separate"/>
        </w:r>
        <w:r w:rsidRPr="009043E7">
          <w:rPr>
            <w:sz w:val="16"/>
            <w:szCs w:val="16"/>
          </w:rPr>
          <w:t>2</w:t>
        </w:r>
        <w:r w:rsidRPr="009043E7">
          <w:rPr>
            <w:sz w:val="16"/>
            <w:szCs w:val="16"/>
          </w:rPr>
          <w:fldChar w:fldCharType="end"/>
        </w:r>
        <w:r w:rsidR="00C67933">
          <w:rPr>
            <w:sz w:val="16"/>
            <w:szCs w:val="16"/>
          </w:rPr>
          <w:t>/</w:t>
        </w:r>
        <w:r w:rsidR="00391400">
          <w:rPr>
            <w:sz w:val="16"/>
            <w:szCs w:val="16"/>
          </w:rPr>
          <w:t>2</w:t>
        </w:r>
      </w:sdtContent>
    </w:sdt>
  </w:p>
  <w:p w14:paraId="3405D2DF" w14:textId="77777777" w:rsidR="009043E7" w:rsidRDefault="00904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FC426" w14:textId="77777777" w:rsidR="007375D9" w:rsidRDefault="007375D9" w:rsidP="009043E7">
      <w:pPr>
        <w:spacing w:line="240" w:lineRule="auto"/>
      </w:pPr>
      <w:r>
        <w:separator/>
      </w:r>
    </w:p>
  </w:footnote>
  <w:footnote w:type="continuationSeparator" w:id="0">
    <w:p w14:paraId="78BD28A9" w14:textId="77777777" w:rsidR="007375D9" w:rsidRDefault="007375D9" w:rsidP="009043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017A"/>
    <w:multiLevelType w:val="hybridMultilevel"/>
    <w:tmpl w:val="838292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13B37"/>
    <w:multiLevelType w:val="hybridMultilevel"/>
    <w:tmpl w:val="F8E621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3"/>
    <w:rsid w:val="000B58FB"/>
    <w:rsid w:val="001621BB"/>
    <w:rsid w:val="001E10B1"/>
    <w:rsid w:val="001E730D"/>
    <w:rsid w:val="00247A41"/>
    <w:rsid w:val="00355688"/>
    <w:rsid w:val="00381883"/>
    <w:rsid w:val="0038577E"/>
    <w:rsid w:val="00391400"/>
    <w:rsid w:val="003940AD"/>
    <w:rsid w:val="003A31AE"/>
    <w:rsid w:val="003B30BC"/>
    <w:rsid w:val="003F2D9E"/>
    <w:rsid w:val="004147D6"/>
    <w:rsid w:val="00424FE9"/>
    <w:rsid w:val="00460618"/>
    <w:rsid w:val="00495EC3"/>
    <w:rsid w:val="004F0525"/>
    <w:rsid w:val="004F3693"/>
    <w:rsid w:val="0055767A"/>
    <w:rsid w:val="005A5922"/>
    <w:rsid w:val="00620A32"/>
    <w:rsid w:val="00681137"/>
    <w:rsid w:val="006834B4"/>
    <w:rsid w:val="006C13FD"/>
    <w:rsid w:val="00721F09"/>
    <w:rsid w:val="007375D9"/>
    <w:rsid w:val="00756E19"/>
    <w:rsid w:val="00786425"/>
    <w:rsid w:val="007A5E3F"/>
    <w:rsid w:val="00844AEA"/>
    <w:rsid w:val="009043E7"/>
    <w:rsid w:val="00994E4D"/>
    <w:rsid w:val="009C0845"/>
    <w:rsid w:val="009E1F62"/>
    <w:rsid w:val="00A1512B"/>
    <w:rsid w:val="00AF592E"/>
    <w:rsid w:val="00B06043"/>
    <w:rsid w:val="00B14857"/>
    <w:rsid w:val="00BF713A"/>
    <w:rsid w:val="00C67933"/>
    <w:rsid w:val="00C94037"/>
    <w:rsid w:val="00CD2788"/>
    <w:rsid w:val="00CE63F8"/>
    <w:rsid w:val="00D23A75"/>
    <w:rsid w:val="00D35479"/>
    <w:rsid w:val="00D52AF1"/>
    <w:rsid w:val="00D6180E"/>
    <w:rsid w:val="00DD51EB"/>
    <w:rsid w:val="00E86EB7"/>
    <w:rsid w:val="00E879E1"/>
    <w:rsid w:val="00EB4791"/>
    <w:rsid w:val="00F15E93"/>
    <w:rsid w:val="00F17C44"/>
    <w:rsid w:val="00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1B0"/>
  <w15:chartTrackingRefBased/>
  <w15:docId w15:val="{B0F0598F-AD7B-4126-B3F4-F1795FBD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E4D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180E"/>
    <w:pPr>
      <w:spacing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18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8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8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AF592E"/>
    <w:pPr>
      <w:shd w:val="clear" w:color="auto" w:fill="595959" w:themeFill="text1" w:themeFillTint="A6"/>
    </w:pPr>
    <w:rPr>
      <w:b/>
      <w:bCs/>
      <w:smallCaps/>
      <w:color w:val="FFFFFF" w:themeColor="background1"/>
      <w:sz w:val="24"/>
      <w:szCs w:val="24"/>
    </w:rPr>
  </w:style>
  <w:style w:type="character" w:customStyle="1" w:styleId="Style1Car">
    <w:name w:val="Style1 Car"/>
    <w:basedOn w:val="Policepardfaut"/>
    <w:link w:val="Style1"/>
    <w:rsid w:val="00AF592E"/>
    <w:rPr>
      <w:b/>
      <w:bCs/>
      <w:smallCaps/>
      <w:color w:val="FFFFFF" w:themeColor="background1"/>
      <w:kern w:val="0"/>
      <w:sz w:val="24"/>
      <w:szCs w:val="24"/>
      <w:shd w:val="clear" w:color="auto" w:fill="595959" w:themeFill="text1" w:themeFillTint="A6"/>
    </w:rPr>
  </w:style>
  <w:style w:type="character" w:styleId="Lienhypertextesuivivisit">
    <w:name w:val="FollowedHyperlink"/>
    <w:basedOn w:val="Policepardfaut"/>
    <w:uiPriority w:val="99"/>
    <w:semiHidden/>
    <w:unhideWhenUsed/>
    <w:rsid w:val="001E10B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43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3E7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9043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3E7"/>
    <w:rPr>
      <w:kern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3914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4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400"/>
    <w:rPr>
      <w:kern w:val="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78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pedagogique68_1d.site.ac-strasbourg.fr/enseignement-moral-et-civique/harcelem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Hugues Studer</cp:lastModifiedBy>
  <cp:revision>6</cp:revision>
  <cp:lastPrinted>2023-09-14T05:50:00Z</cp:lastPrinted>
  <dcterms:created xsi:type="dcterms:W3CDTF">2023-09-17T22:26:00Z</dcterms:created>
  <dcterms:modified xsi:type="dcterms:W3CDTF">2024-09-16T14:52:00Z</dcterms:modified>
</cp:coreProperties>
</file>